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5B30" w14:textId="77777777" w:rsidR="00E47ECC" w:rsidRPr="00E169B9" w:rsidRDefault="00A73476" w:rsidP="00E47ECC">
      <w:pPr>
        <w:jc w:val="both"/>
        <w:rPr>
          <w:b/>
          <w:bCs/>
          <w:sz w:val="32"/>
          <w:szCs w:val="32"/>
        </w:rPr>
      </w:pPr>
      <w:r>
        <w:rPr>
          <w:rFonts w:ascii="AlgerianD" w:hAnsi="AlgerianD"/>
          <w:noProof/>
          <w:sz w:val="52"/>
          <w:lang w:eastAsia="zh-TW"/>
        </w:rPr>
        <w:drawing>
          <wp:inline distT="0" distB="0" distL="0" distR="0" wp14:anchorId="5BBD686E" wp14:editId="0C5C3CF9">
            <wp:extent cx="695325" cy="704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ECC">
        <w:rPr>
          <w:rFonts w:ascii="AlgerianD" w:hAnsi="AlgerianD"/>
          <w:sz w:val="52"/>
        </w:rPr>
        <w:t xml:space="preserve"> </w:t>
      </w:r>
      <w:r>
        <w:rPr>
          <w:rFonts w:ascii="AlgerianD" w:hAnsi="AlgerianD"/>
          <w:sz w:val="52"/>
        </w:rPr>
        <w:t xml:space="preserve">     </w:t>
      </w:r>
      <w:r w:rsidR="00E47ECC" w:rsidRPr="00EA2A8C">
        <w:rPr>
          <w:rFonts w:ascii="Arial" w:hAnsi="Arial" w:cs="Arial"/>
          <w:sz w:val="24"/>
          <w:szCs w:val="24"/>
        </w:rPr>
        <w:t xml:space="preserve"> </w:t>
      </w:r>
      <w:r w:rsidR="00E47ECC" w:rsidRPr="00E169B9">
        <w:rPr>
          <w:b/>
          <w:bCs/>
          <w:sz w:val="40"/>
          <w:szCs w:val="40"/>
        </w:rPr>
        <w:t>CITTA’ DI FRATTAMAGGIORE</w:t>
      </w:r>
    </w:p>
    <w:p w14:paraId="677B21EB" w14:textId="77777777" w:rsidR="00E47ECC" w:rsidRPr="00E169B9" w:rsidRDefault="00E47ECC" w:rsidP="00E47ECC">
      <w:pPr>
        <w:jc w:val="center"/>
        <w:rPr>
          <w:b/>
          <w:bCs/>
          <w:sz w:val="28"/>
          <w:szCs w:val="28"/>
        </w:rPr>
      </w:pPr>
      <w:r w:rsidRPr="00E169B9">
        <w:rPr>
          <w:b/>
          <w:bCs/>
          <w:sz w:val="32"/>
          <w:szCs w:val="32"/>
        </w:rPr>
        <w:t xml:space="preserve">    </w:t>
      </w:r>
      <w:r w:rsidR="00E169B9">
        <w:rPr>
          <w:b/>
          <w:bCs/>
          <w:sz w:val="32"/>
          <w:szCs w:val="32"/>
        </w:rPr>
        <w:t xml:space="preserve">                   </w:t>
      </w:r>
      <w:r w:rsidRPr="00E169B9">
        <w:rPr>
          <w:b/>
          <w:bCs/>
          <w:sz w:val="28"/>
          <w:szCs w:val="28"/>
        </w:rPr>
        <w:t xml:space="preserve">- PROVINCIA DI NAPOLI </w:t>
      </w:r>
      <w:r w:rsidR="006B468D" w:rsidRPr="00E169B9">
        <w:rPr>
          <w:b/>
          <w:bCs/>
          <w:sz w:val="28"/>
          <w:szCs w:val="28"/>
        </w:rPr>
        <w:t>–</w:t>
      </w:r>
    </w:p>
    <w:p w14:paraId="79D11A45" w14:textId="77777777" w:rsidR="006B468D" w:rsidRPr="00E169B9" w:rsidRDefault="006B468D" w:rsidP="00E47ECC">
      <w:pPr>
        <w:jc w:val="center"/>
        <w:rPr>
          <w:b/>
          <w:bCs/>
          <w:sz w:val="28"/>
          <w:szCs w:val="28"/>
        </w:rPr>
      </w:pPr>
    </w:p>
    <w:p w14:paraId="65E9CA77" w14:textId="77777777" w:rsidR="006B468D" w:rsidRDefault="006B468D" w:rsidP="00E47E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092BBE" w14:textId="77777777" w:rsidR="006B468D" w:rsidRDefault="006B468D" w:rsidP="00E47E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E0032B" w14:textId="77777777" w:rsidR="006B468D" w:rsidRDefault="006B468D" w:rsidP="00E47E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E67F15" w14:textId="77777777" w:rsidR="006B468D" w:rsidRPr="00EA2A8C" w:rsidRDefault="006B468D" w:rsidP="00E47E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A62924" w14:textId="77777777" w:rsidR="00B25AD7" w:rsidRPr="00EA2A8C" w:rsidRDefault="00B25AD7" w:rsidP="00B25AD7">
      <w:pPr>
        <w:jc w:val="both"/>
        <w:rPr>
          <w:rFonts w:ascii="Arial" w:hAnsi="Arial" w:cs="Arial"/>
          <w:sz w:val="24"/>
          <w:szCs w:val="24"/>
        </w:rPr>
      </w:pPr>
    </w:p>
    <w:p w14:paraId="4584FBC1" w14:textId="77777777" w:rsidR="00274B3C" w:rsidRDefault="00B25AD7" w:rsidP="00A70A41">
      <w:pPr>
        <w:jc w:val="both"/>
        <w:rPr>
          <w:rFonts w:ascii="TimesNewRomanPSMT" w:eastAsia="TimesNewRomanPSMT" w:hAnsiTheme="minorHAnsi" w:cs="TimesNewRomanPSMT"/>
          <w:color w:val="000000"/>
          <w:lang w:eastAsia="en-US"/>
        </w:rPr>
      </w:pPr>
      <w:r w:rsidRPr="00EA2A8C">
        <w:rPr>
          <w:rFonts w:ascii="Arial" w:hAnsi="Arial" w:cs="Arial"/>
          <w:sz w:val="24"/>
          <w:szCs w:val="24"/>
        </w:rPr>
        <w:t xml:space="preserve">    </w:t>
      </w:r>
    </w:p>
    <w:p w14:paraId="19BB055D" w14:textId="77777777" w:rsidR="00EB185C" w:rsidRPr="00E169B9" w:rsidRDefault="00E169B9" w:rsidP="00E169B9">
      <w:pPr>
        <w:autoSpaceDE w:val="0"/>
        <w:autoSpaceDN w:val="0"/>
        <w:adjustRightInd w:val="0"/>
        <w:jc w:val="center"/>
        <w:rPr>
          <w:rFonts w:ascii="Times-Roman" w:eastAsiaTheme="minorHAnsi" w:hAnsi="Times-Roman" w:cs="Times-Roman"/>
          <w:b/>
          <w:sz w:val="56"/>
          <w:szCs w:val="56"/>
          <w:lang w:eastAsia="en-US"/>
        </w:rPr>
      </w:pPr>
      <w:r w:rsidRPr="00E169B9">
        <w:rPr>
          <w:rFonts w:ascii="Times-Roman" w:eastAsiaTheme="minorHAnsi" w:hAnsi="Times-Roman" w:cs="Times-Roman"/>
          <w:b/>
          <w:sz w:val="56"/>
          <w:szCs w:val="56"/>
          <w:lang w:eastAsia="en-US"/>
        </w:rPr>
        <w:t>REGOLAMENTO PER LA ISTITUZIONE DELL’OSSERVATORIO PERMANENTE SULLA LEGALITÀ E SICUREZZA.</w:t>
      </w:r>
    </w:p>
    <w:p w14:paraId="36C989FE" w14:textId="77777777" w:rsidR="00366E26" w:rsidRPr="00E169B9" w:rsidRDefault="00366E26" w:rsidP="00E169B9">
      <w:pPr>
        <w:autoSpaceDE w:val="0"/>
        <w:autoSpaceDN w:val="0"/>
        <w:adjustRightInd w:val="0"/>
        <w:jc w:val="center"/>
        <w:rPr>
          <w:rFonts w:ascii="Times-Roman" w:eastAsiaTheme="minorHAnsi" w:hAnsi="Times-Roman" w:cs="Times-Roman"/>
          <w:b/>
          <w:sz w:val="56"/>
          <w:szCs w:val="56"/>
          <w:lang w:eastAsia="en-US"/>
        </w:rPr>
      </w:pPr>
    </w:p>
    <w:p w14:paraId="6CBF9A81" w14:textId="77777777" w:rsidR="00E169B9" w:rsidRDefault="00E169B9" w:rsidP="00E169B9">
      <w:pPr>
        <w:spacing w:after="200" w:line="276" w:lineRule="auto"/>
        <w:jc w:val="both"/>
        <w:rPr>
          <w:rFonts w:ascii="Times-Roman" w:eastAsiaTheme="minorHAnsi" w:hAnsi="Times-Roman" w:cs="Times-Roman"/>
          <w:b/>
          <w:sz w:val="24"/>
          <w:szCs w:val="24"/>
          <w:lang w:eastAsia="en-US"/>
        </w:rPr>
      </w:pPr>
    </w:p>
    <w:p w14:paraId="0D9740C6" w14:textId="77777777" w:rsidR="00E169B9" w:rsidRDefault="00E169B9" w:rsidP="00E169B9">
      <w:pPr>
        <w:spacing w:after="200" w:line="276" w:lineRule="auto"/>
        <w:jc w:val="both"/>
        <w:rPr>
          <w:rFonts w:ascii="Times-Roman" w:eastAsiaTheme="minorHAnsi" w:hAnsi="Times-Roman" w:cs="Times-Roman"/>
          <w:b/>
          <w:sz w:val="24"/>
          <w:szCs w:val="24"/>
          <w:lang w:eastAsia="en-US"/>
        </w:rPr>
      </w:pPr>
    </w:p>
    <w:p w14:paraId="7E9CB3C8" w14:textId="77777777" w:rsidR="006B468D" w:rsidRPr="005B4B09" w:rsidRDefault="00E169B9" w:rsidP="00E169B9">
      <w:pPr>
        <w:spacing w:after="200" w:line="276" w:lineRule="auto"/>
        <w:jc w:val="both"/>
        <w:rPr>
          <w:rFonts w:ascii="Times-Roman" w:eastAsiaTheme="minorHAnsi" w:hAnsi="Times-Roman" w:cs="Times-Roman"/>
          <w:b/>
          <w:sz w:val="36"/>
          <w:szCs w:val="36"/>
          <w:lang w:eastAsia="en-US"/>
        </w:rPr>
      </w:pPr>
      <w:r>
        <w:rPr>
          <w:rFonts w:ascii="Times-Roman" w:eastAsiaTheme="minorHAnsi" w:hAnsi="Times-Roman" w:cs="Times-Roman"/>
          <w:b/>
          <w:sz w:val="24"/>
          <w:szCs w:val="24"/>
          <w:lang w:eastAsia="en-US"/>
        </w:rPr>
        <w:t>Approvato</w:t>
      </w:r>
      <w:r w:rsidR="003D6543">
        <w:rPr>
          <w:rFonts w:ascii="Times-Roman" w:eastAsiaTheme="minorHAnsi" w:hAnsi="Times-Roman" w:cs="Times-Roman"/>
          <w:b/>
          <w:sz w:val="24"/>
          <w:szCs w:val="24"/>
          <w:lang w:eastAsia="en-US"/>
        </w:rPr>
        <w:t xml:space="preserve"> </w:t>
      </w:r>
      <w:r>
        <w:rPr>
          <w:rFonts w:ascii="Times-Roman" w:eastAsiaTheme="minorHAnsi" w:hAnsi="Times-Roman" w:cs="Times-Roman"/>
          <w:b/>
          <w:sz w:val="24"/>
          <w:szCs w:val="24"/>
          <w:lang w:eastAsia="en-US"/>
        </w:rPr>
        <w:t>con Delibera del Consiglio comunale n.</w:t>
      </w:r>
      <w:r w:rsidR="003D6543">
        <w:rPr>
          <w:rFonts w:ascii="Times-Roman" w:eastAsiaTheme="minorHAnsi" w:hAnsi="Times-Roman" w:cs="Times-Roman"/>
          <w:b/>
          <w:sz w:val="24"/>
          <w:szCs w:val="24"/>
          <w:lang w:eastAsia="en-US"/>
        </w:rPr>
        <w:t xml:space="preserve"> 15</w:t>
      </w:r>
      <w:r>
        <w:rPr>
          <w:rFonts w:ascii="Times-Roman" w:eastAsiaTheme="minorHAnsi" w:hAnsi="Times-Roman" w:cs="Times-Roman"/>
          <w:b/>
          <w:sz w:val="24"/>
          <w:szCs w:val="24"/>
          <w:lang w:eastAsia="en-US"/>
        </w:rPr>
        <w:t xml:space="preserve"> del</w:t>
      </w:r>
      <w:r w:rsidR="003D6543">
        <w:rPr>
          <w:rFonts w:ascii="Times-Roman" w:eastAsiaTheme="minorHAnsi" w:hAnsi="Times-Roman" w:cs="Times-Roman"/>
          <w:b/>
          <w:sz w:val="24"/>
          <w:szCs w:val="24"/>
          <w:lang w:eastAsia="en-US"/>
        </w:rPr>
        <w:t xml:space="preserve"> 3.5.2016</w:t>
      </w:r>
      <w:r>
        <w:rPr>
          <w:rFonts w:ascii="Times-Roman" w:eastAsiaTheme="minorHAnsi" w:hAnsi="Times-Roman" w:cs="Times-Roman"/>
          <w:b/>
          <w:sz w:val="24"/>
          <w:szCs w:val="24"/>
          <w:lang w:eastAsia="en-US"/>
        </w:rPr>
        <w:t xml:space="preserve"> </w:t>
      </w:r>
      <w:r w:rsidRPr="00E169B9">
        <w:rPr>
          <w:rFonts w:ascii="Times-Roman" w:eastAsiaTheme="minorHAnsi" w:hAnsi="Times-Roman" w:cs="Times-Roman"/>
          <w:b/>
          <w:sz w:val="56"/>
          <w:szCs w:val="56"/>
          <w:lang w:eastAsia="en-US"/>
        </w:rPr>
        <w:br w:type="page"/>
      </w:r>
      <w:r w:rsidR="006B468D" w:rsidRPr="005B4B09">
        <w:rPr>
          <w:rFonts w:ascii="Times-Bold" w:eastAsiaTheme="minorHAnsi" w:hAnsi="Times-Bold" w:cs="Times-Bold"/>
          <w:b/>
          <w:bCs/>
          <w:sz w:val="36"/>
          <w:szCs w:val="36"/>
          <w:lang w:eastAsia="en-US"/>
        </w:rPr>
        <w:lastRenderedPageBreak/>
        <w:t>INDICE</w:t>
      </w:r>
    </w:p>
    <w:p w14:paraId="5CAA0746" w14:textId="77777777" w:rsidR="006B468D" w:rsidRDefault="006B468D" w:rsidP="006B468D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</w:p>
    <w:p w14:paraId="01E5FFF2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Art. 1 Istituzione Pag. </w:t>
      </w:r>
      <w:r w:rsidR="0001708C">
        <w:rPr>
          <w:rFonts w:ascii="Times-Roman" w:eastAsiaTheme="minorHAnsi" w:hAnsi="Times-Roman" w:cs="Times-Roman"/>
          <w:b/>
          <w:sz w:val="26"/>
          <w:szCs w:val="26"/>
          <w:lang w:eastAsia="en-US"/>
        </w:rPr>
        <w:t>3</w:t>
      </w:r>
    </w:p>
    <w:p w14:paraId="6F988F86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</w:p>
    <w:p w14:paraId="4AC6F2C1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Art. 2 Finalità       Pag. </w:t>
      </w:r>
      <w:r w:rsidR="0001708C">
        <w:rPr>
          <w:rFonts w:ascii="Times-Roman" w:eastAsiaTheme="minorHAnsi" w:hAnsi="Times-Roman" w:cs="Times-Roman"/>
          <w:b/>
          <w:sz w:val="26"/>
          <w:szCs w:val="26"/>
          <w:lang w:eastAsia="en-US"/>
        </w:rPr>
        <w:t>3</w:t>
      </w: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 </w:t>
      </w:r>
    </w:p>
    <w:p w14:paraId="4D5BB63F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</w:p>
    <w:p w14:paraId="526B6A73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>Art. 3 Composizione Pag.</w:t>
      </w:r>
      <w:r w:rsidR="0001708C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 4</w:t>
      </w: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 </w:t>
      </w:r>
    </w:p>
    <w:p w14:paraId="7DDF9644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</w:p>
    <w:p w14:paraId="05949C67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Art. 4 Nomina Pag. </w:t>
      </w:r>
      <w:r w:rsidR="0001708C">
        <w:rPr>
          <w:rFonts w:ascii="Times-Roman" w:eastAsiaTheme="minorHAnsi" w:hAnsi="Times-Roman" w:cs="Times-Roman"/>
          <w:b/>
          <w:sz w:val="26"/>
          <w:szCs w:val="26"/>
          <w:lang w:eastAsia="en-US"/>
        </w:rPr>
        <w:t>4</w:t>
      </w:r>
    </w:p>
    <w:p w14:paraId="3140CBE6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</w:p>
    <w:p w14:paraId="1DDAFE0A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Art. 5 Funzionamento Pag. </w:t>
      </w:r>
      <w:r w:rsidR="0001708C">
        <w:rPr>
          <w:rFonts w:ascii="Times-Roman" w:eastAsiaTheme="minorHAnsi" w:hAnsi="Times-Roman" w:cs="Times-Roman"/>
          <w:b/>
          <w:sz w:val="26"/>
          <w:szCs w:val="26"/>
          <w:lang w:eastAsia="en-US"/>
        </w:rPr>
        <w:t>4</w:t>
      </w:r>
    </w:p>
    <w:p w14:paraId="7550840C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</w:p>
    <w:p w14:paraId="2CE6A5F7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Art. 6 Oneri Pag. </w:t>
      </w:r>
      <w:r w:rsidR="0001708C">
        <w:rPr>
          <w:rFonts w:ascii="Times-Roman" w:eastAsiaTheme="minorHAnsi" w:hAnsi="Times-Roman" w:cs="Times-Roman"/>
          <w:b/>
          <w:sz w:val="26"/>
          <w:szCs w:val="26"/>
          <w:lang w:eastAsia="en-US"/>
        </w:rPr>
        <w:t>5</w:t>
      </w:r>
    </w:p>
    <w:p w14:paraId="2779B3E6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</w:p>
    <w:p w14:paraId="02F736C1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Art. 7 Partecipazione Pag. </w:t>
      </w:r>
      <w:r w:rsidR="0001708C">
        <w:rPr>
          <w:rFonts w:ascii="Times-Roman" w:eastAsiaTheme="minorHAnsi" w:hAnsi="Times-Roman" w:cs="Times-Roman"/>
          <w:b/>
          <w:sz w:val="26"/>
          <w:szCs w:val="26"/>
          <w:lang w:eastAsia="en-US"/>
        </w:rPr>
        <w:t>5</w:t>
      </w:r>
    </w:p>
    <w:p w14:paraId="60FC466E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</w:p>
    <w:p w14:paraId="4926CC45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>Art. 8 Gratuità della funzione Pag.</w:t>
      </w:r>
      <w:r w:rsidR="0001708C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 8</w:t>
      </w: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 </w:t>
      </w:r>
    </w:p>
    <w:p w14:paraId="70774988" w14:textId="77777777" w:rsidR="006B468D" w:rsidRPr="00E169B9" w:rsidRDefault="006B468D" w:rsidP="006B468D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</w:p>
    <w:p w14:paraId="2B4CD7C6" w14:textId="77777777" w:rsidR="006B468D" w:rsidRPr="00E169B9" w:rsidRDefault="006B468D" w:rsidP="006B468D">
      <w:pPr>
        <w:jc w:val="both"/>
        <w:rPr>
          <w:b/>
          <w:i/>
          <w:sz w:val="28"/>
          <w:szCs w:val="28"/>
        </w:rPr>
      </w:pPr>
      <w:r w:rsidRPr="00E169B9">
        <w:rPr>
          <w:rFonts w:ascii="Times-Roman" w:eastAsiaTheme="minorHAnsi" w:hAnsi="Times-Roman" w:cs="Times-Roman"/>
          <w:b/>
          <w:sz w:val="26"/>
          <w:szCs w:val="26"/>
          <w:lang w:eastAsia="en-US"/>
        </w:rPr>
        <w:t xml:space="preserve">Art. 9 Entrata in vigore Pag. </w:t>
      </w:r>
      <w:r w:rsidR="0001708C">
        <w:rPr>
          <w:rFonts w:ascii="Times-Roman" w:eastAsiaTheme="minorHAnsi" w:hAnsi="Times-Roman" w:cs="Times-Roman"/>
          <w:b/>
          <w:sz w:val="26"/>
          <w:szCs w:val="26"/>
          <w:lang w:eastAsia="en-US"/>
        </w:rPr>
        <w:t>9</w:t>
      </w:r>
    </w:p>
    <w:p w14:paraId="3DFE9A07" w14:textId="77777777" w:rsidR="00863A66" w:rsidRPr="00E169B9" w:rsidRDefault="00863A66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</w:p>
    <w:p w14:paraId="6B67C2E0" w14:textId="77777777" w:rsidR="006B468D" w:rsidRDefault="006B468D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6ABFE65" w14:textId="77777777" w:rsidR="006B468D" w:rsidRDefault="006B468D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F4B1547" w14:textId="77777777" w:rsidR="006B468D" w:rsidRDefault="006B468D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E7BFB31" w14:textId="77777777" w:rsidR="006B468D" w:rsidRDefault="006B468D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5605BB3" w14:textId="77777777" w:rsidR="006B468D" w:rsidRDefault="006B468D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CAA8DC9" w14:textId="77777777" w:rsidR="006B468D" w:rsidRDefault="006B468D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160E34DC" w14:textId="77777777" w:rsidR="006B468D" w:rsidRDefault="006B468D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3A0E916C" w14:textId="77777777" w:rsidR="006B468D" w:rsidRDefault="006B468D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BEDAA3C" w14:textId="77777777" w:rsidR="006B468D" w:rsidRDefault="006B468D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7A89D02" w14:textId="77777777" w:rsidR="006B468D" w:rsidRDefault="006B468D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2A9C2E12" w14:textId="77777777" w:rsidR="00002B64" w:rsidRDefault="00002B64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4A021EF" w14:textId="77777777" w:rsidR="00E169B9" w:rsidRDefault="00E169B9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E42ACE8" w14:textId="77777777" w:rsidR="00E169B9" w:rsidRDefault="00E169B9">
      <w:pPr>
        <w:spacing w:after="200" w:line="276" w:lineRule="auto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br w:type="page"/>
      </w:r>
    </w:p>
    <w:p w14:paraId="6EF02D60" w14:textId="77777777" w:rsidR="00E169B9" w:rsidRDefault="00E169B9" w:rsidP="00863A6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F09A7B3" w14:textId="77777777" w:rsidR="00002B64" w:rsidRDefault="00002B64" w:rsidP="005B4B09">
      <w:pPr>
        <w:spacing w:after="200" w:line="276" w:lineRule="auto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0734031" w14:textId="77777777" w:rsidR="00EB185C" w:rsidRDefault="00EB185C" w:rsidP="00863A66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ART. 1</w:t>
      </w:r>
    </w:p>
    <w:p w14:paraId="60725A30" w14:textId="77777777" w:rsidR="00863A66" w:rsidRDefault="00EB185C" w:rsidP="00002B64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ISTITUZIONE</w:t>
      </w:r>
    </w:p>
    <w:p w14:paraId="1DFABABC" w14:textId="77777777" w:rsidR="00EB185C" w:rsidRPr="005B4B09" w:rsidRDefault="00EB185C" w:rsidP="005B4B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È istituito presso il Comune di </w:t>
      </w:r>
      <w:r w:rsidR="00863A66"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>Frattamaggiore</w:t>
      </w:r>
      <w:r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l’Osservatorio permanente sulla legalità e</w:t>
      </w:r>
      <w:r w:rsidR="0008643F"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>sicurezza, di seguito denominato “Oss</w:t>
      </w:r>
      <w:r w:rsidR="00863A66"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>ervatorio”. Esso è inteso come O</w:t>
      </w:r>
      <w:r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>rganismo</w:t>
      </w:r>
      <w:r w:rsidR="00863A66"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>permanente con funzioni consultive, propositive, centro di studio, ricerca,</w:t>
      </w:r>
      <w:r w:rsidR="00863A66"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>documentazione, iniziativa sociale a sostegno della legalità e per la lotta alla</w:t>
      </w:r>
      <w:r w:rsidR="00863A66"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Pr="005B4B09">
        <w:rPr>
          <w:rFonts w:ascii="Times-Roman" w:eastAsiaTheme="minorHAnsi" w:hAnsi="Times-Roman" w:cs="Times-Roman"/>
          <w:sz w:val="26"/>
          <w:szCs w:val="26"/>
          <w:lang w:eastAsia="en-US"/>
        </w:rPr>
        <w:t>criminalità.</w:t>
      </w:r>
    </w:p>
    <w:p w14:paraId="36DA6E54" w14:textId="77777777" w:rsidR="005B4B09" w:rsidRPr="005B4B09" w:rsidRDefault="005B4B09" w:rsidP="005B4B09">
      <w:pPr>
        <w:pStyle w:val="Paragrafoelenco"/>
        <w:autoSpaceDE w:val="0"/>
        <w:autoSpaceDN w:val="0"/>
        <w:adjustRightInd w:val="0"/>
        <w:ind w:left="72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74C7508C" w14:textId="77777777" w:rsidR="00863A66" w:rsidRDefault="00863A66" w:rsidP="00863A66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1D6A085E" w14:textId="77777777" w:rsidR="00EB185C" w:rsidRPr="00863A66" w:rsidRDefault="00EB185C" w:rsidP="00863A66">
      <w:pPr>
        <w:autoSpaceDE w:val="0"/>
        <w:autoSpaceDN w:val="0"/>
        <w:adjustRightInd w:val="0"/>
        <w:jc w:val="center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  <w:r w:rsidRPr="00863A66">
        <w:rPr>
          <w:rFonts w:ascii="Times-Roman" w:eastAsiaTheme="minorHAnsi" w:hAnsi="Times-Roman" w:cs="Times-Roman"/>
          <w:b/>
          <w:sz w:val="26"/>
          <w:szCs w:val="26"/>
          <w:lang w:eastAsia="en-US"/>
        </w:rPr>
        <w:t>ART. 2</w:t>
      </w:r>
    </w:p>
    <w:p w14:paraId="07CFBB38" w14:textId="77777777" w:rsidR="00863A66" w:rsidRPr="00863A66" w:rsidRDefault="00EB185C" w:rsidP="00002B64">
      <w:pPr>
        <w:autoSpaceDE w:val="0"/>
        <w:autoSpaceDN w:val="0"/>
        <w:adjustRightInd w:val="0"/>
        <w:jc w:val="center"/>
        <w:rPr>
          <w:rFonts w:ascii="Times-Roman" w:eastAsiaTheme="minorHAnsi" w:hAnsi="Times-Roman" w:cs="Times-Roman"/>
          <w:b/>
          <w:sz w:val="26"/>
          <w:szCs w:val="26"/>
          <w:lang w:eastAsia="en-US"/>
        </w:rPr>
      </w:pPr>
      <w:r w:rsidRPr="00863A66">
        <w:rPr>
          <w:rFonts w:ascii="Times-Roman" w:eastAsiaTheme="minorHAnsi" w:hAnsi="Times-Roman" w:cs="Times-Roman"/>
          <w:b/>
          <w:sz w:val="26"/>
          <w:szCs w:val="26"/>
          <w:lang w:eastAsia="en-US"/>
        </w:rPr>
        <w:t>FINALITÀ</w:t>
      </w:r>
    </w:p>
    <w:p w14:paraId="474E083E" w14:textId="77777777" w:rsidR="00EB185C" w:rsidRPr="00863A66" w:rsidRDefault="00EB185C" w:rsidP="00863A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 w:rsidRPr="00863A66">
        <w:rPr>
          <w:rFonts w:ascii="Times-Roman" w:eastAsiaTheme="minorHAnsi" w:hAnsi="Times-Roman" w:cs="Times-Roman"/>
          <w:sz w:val="26"/>
          <w:szCs w:val="26"/>
          <w:lang w:eastAsia="en-US"/>
        </w:rPr>
        <w:t>Gli ambiti di attività dell’Osservatorio si sostanziano:</w:t>
      </w:r>
    </w:p>
    <w:p w14:paraId="179F1582" w14:textId="77777777" w:rsidR="00863A66" w:rsidRPr="00863A66" w:rsidRDefault="00863A66" w:rsidP="00863A66">
      <w:pPr>
        <w:pStyle w:val="Paragrafoelenco"/>
        <w:autoSpaceDE w:val="0"/>
        <w:autoSpaceDN w:val="0"/>
        <w:adjustRightInd w:val="0"/>
        <w:ind w:left="72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D08CDAE" w14:textId="77777777" w:rsidR="00863A66" w:rsidRDefault="00EB185C" w:rsidP="00863A66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a) Nel favorire processi di integrazione delle politiche sulla sicurezza e della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legalità con le altre politiche settoriali, anche con l’attivazione di una rete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virtuosa tra attori locali, con l’intento di programmare interventi di contrasto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all’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illegalità e seguendo una logica integrata che pone tali azioni come punto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di raccordo tra politiche di prevenzione e politiche di contrasto a fenomeni di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esclusione sociale. </w:t>
      </w:r>
    </w:p>
    <w:p w14:paraId="65C7618D" w14:textId="77777777" w:rsidR="00EB185C" w:rsidRDefault="00EB185C" w:rsidP="00863A66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L’Osservatorio, a tal fine, potrà avvalersi degli elementi di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conoscenza e di ricognizione forniti dai Responsabili delle forze di sicurezza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pubblica, nel rispetto e nei limiti stabiliti dalla legge;</w:t>
      </w:r>
    </w:p>
    <w:p w14:paraId="2CF65A28" w14:textId="77777777" w:rsidR="00863A66" w:rsidRDefault="00863A66" w:rsidP="00863A66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1ED74A5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b) nell’assicurare ogni suggerimento all’Amministrazione comunale </w:t>
      </w:r>
      <w:proofErr w:type="spellStart"/>
      <w:r>
        <w:rPr>
          <w:rFonts w:ascii="Times-Roman" w:eastAsiaTheme="minorHAnsi" w:hAnsi="Times-Roman" w:cs="Times-Roman"/>
          <w:sz w:val="26"/>
          <w:szCs w:val="26"/>
          <w:lang w:eastAsia="en-US"/>
        </w:rPr>
        <w:t>affinchè</w:t>
      </w:r>
      <w:proofErr w:type="spellEnd"/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trasparenza e legalità continuino ad essere punti-cardine del proprio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programma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di mandato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;</w:t>
      </w:r>
    </w:p>
    <w:p w14:paraId="0DA095B1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</w:p>
    <w:p w14:paraId="649B602C" w14:textId="77777777" w:rsidR="00EB185C" w:rsidRDefault="00EB185C" w:rsidP="00863A66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c) nell’affiancare l’azione dell’Assessorato alle politiche sociali al fine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dell’arricchimento della progettualità nel settore della sicurezza sociale;</w:t>
      </w:r>
    </w:p>
    <w:p w14:paraId="37C563A8" w14:textId="77777777" w:rsidR="00863A66" w:rsidRDefault="00863A66" w:rsidP="00863A66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2A8CFE8C" w14:textId="77777777" w:rsidR="00EB185C" w:rsidRDefault="00EB185C" w:rsidP="00863A66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d) nell’individuare i settori di attivit</w:t>
      </w:r>
      <w:r w:rsidR="00863A66">
        <w:rPr>
          <w:rFonts w:ascii="Times-Roman" w:eastAsiaTheme="minorHAnsi" w:hAnsi="Times-Roman" w:cs="Times-Roman"/>
          <w:sz w:val="26"/>
          <w:szCs w:val="26"/>
          <w:lang w:eastAsia="en-US"/>
        </w:rPr>
        <w:t>à cittadina a maggior rischio di possibili infiltrazioni criminali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;</w:t>
      </w:r>
    </w:p>
    <w:p w14:paraId="7E0E0484" w14:textId="77777777" w:rsidR="000549DB" w:rsidRDefault="000549DB" w:rsidP="00863A66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7AD03CFA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e) nello studiare e fotografare le forme criminali e microcriminali tradizionali ed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emergenti presenti sul territorio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>,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favorendo l’implementazione e la messa in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rete dei flussi informativi;</w:t>
      </w:r>
    </w:p>
    <w:p w14:paraId="21C03AEF" w14:textId="77777777" w:rsidR="000549DB" w:rsidRDefault="000549DB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6A19CE4" w14:textId="77777777" w:rsidR="00EB185C" w:rsidRDefault="00EB185C" w:rsidP="000549D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f) nel promuovere azioni mirate, volte a favorire la prevenzione, il controllo e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l’intervento sui più diffusi fenomeni criminali (micro e macro criminalità,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racket, usura, e violenza, illegalità all’interno della stessa pubblica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Amministrazione, ecc.);</w:t>
      </w:r>
    </w:p>
    <w:p w14:paraId="610CCE43" w14:textId="77777777" w:rsidR="000549DB" w:rsidRDefault="000549DB" w:rsidP="000549D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351CEB6" w14:textId="77777777" w:rsidR="000549DB" w:rsidRDefault="000549DB" w:rsidP="000549D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3473E4F3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g) nel supportare la funzione di programmazione, progettazione e gestione delle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politiche locali attraverso la costruzione di un sistema di monitoraggio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continuo.</w:t>
      </w:r>
    </w:p>
    <w:p w14:paraId="5D230708" w14:textId="77777777" w:rsidR="000549DB" w:rsidRDefault="000549DB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23D1A60F" w14:textId="77777777" w:rsidR="00366E26" w:rsidRDefault="00366E26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3CDC535C" w14:textId="77777777" w:rsidR="00366E26" w:rsidRDefault="00366E26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B76B5F4" w14:textId="77777777" w:rsidR="00366E26" w:rsidRDefault="00366E26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42F410F" w14:textId="77777777" w:rsidR="00366E26" w:rsidRDefault="00366E26" w:rsidP="00366E2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3DFBA2F" w14:textId="77777777" w:rsidR="00EB185C" w:rsidRDefault="00366E26" w:rsidP="00366E2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                                                                    </w:t>
      </w:r>
      <w:r w:rsidR="00EB185C"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ART. 3</w:t>
      </w:r>
    </w:p>
    <w:p w14:paraId="18F67FD5" w14:textId="77777777" w:rsidR="000549DB" w:rsidRDefault="00EB185C" w:rsidP="00002B64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COMPOSIZIONE</w:t>
      </w:r>
    </w:p>
    <w:p w14:paraId="4392D14A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1. L’Osservatorio è composto:</w:t>
      </w:r>
    </w:p>
    <w:p w14:paraId="7273E596" w14:textId="77777777" w:rsidR="00EB185C" w:rsidRDefault="000549DB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a) dal Sindaco o Suo delegato</w:t>
      </w:r>
      <w:r w:rsidR="00EB185C">
        <w:rPr>
          <w:rFonts w:ascii="Times-Roman" w:eastAsiaTheme="minorHAnsi" w:hAnsi="Times-Roman" w:cs="Times-Roman"/>
          <w:sz w:val="26"/>
          <w:szCs w:val="26"/>
          <w:lang w:eastAsia="en-US"/>
        </w:rPr>
        <w:t>;</w:t>
      </w:r>
    </w:p>
    <w:p w14:paraId="633BA64C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b) dal Presidente del Consiglio Comunale;</w:t>
      </w:r>
    </w:p>
    <w:p w14:paraId="0267A6BA" w14:textId="77777777" w:rsidR="00EB185C" w:rsidRDefault="00EB185C" w:rsidP="00585CDE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c) da n. 2 Consiglieri comunali designati l’uno dalla maggioranza consiliare e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585CDE">
        <w:rPr>
          <w:rFonts w:ascii="Times-Roman" w:eastAsiaTheme="minorHAnsi" w:hAnsi="Times-Roman" w:cs="Times-Roman"/>
          <w:sz w:val="26"/>
          <w:szCs w:val="26"/>
          <w:lang w:eastAsia="en-US"/>
        </w:rPr>
        <w:t>l’altro dalla minoranza;</w:t>
      </w:r>
    </w:p>
    <w:p w14:paraId="5D73DD60" w14:textId="77777777" w:rsidR="00EB185C" w:rsidRDefault="00EB185C" w:rsidP="000549D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e) da un magistr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>ato tog</w:t>
      </w:r>
      <w:r w:rsidR="0008643F">
        <w:rPr>
          <w:rFonts w:ascii="Times-Roman" w:eastAsiaTheme="minorHAnsi" w:hAnsi="Times-Roman" w:cs="Times-Roman"/>
          <w:sz w:val="26"/>
          <w:szCs w:val="26"/>
          <w:lang w:eastAsia="en-US"/>
        </w:rPr>
        <w:t>ato del Tribunale di Napoli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;</w:t>
      </w:r>
    </w:p>
    <w:p w14:paraId="4100815F" w14:textId="77777777" w:rsidR="00EB185C" w:rsidRDefault="00585CDE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f) da un</w:t>
      </w:r>
      <w:r w:rsidR="0008643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>
        <w:rPr>
          <w:rFonts w:ascii="Times-Roman" w:eastAsiaTheme="minorHAnsi" w:hAnsi="Times-Roman" w:cs="Times-Roman"/>
          <w:sz w:val="26"/>
          <w:szCs w:val="26"/>
          <w:lang w:eastAsia="en-US"/>
        </w:rPr>
        <w:t>rapp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resentante</w:t>
      </w:r>
      <w:r w:rsidR="00BC68B0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delle Chiese locali</w:t>
      </w:r>
      <w:r w:rsidR="00EB185C">
        <w:rPr>
          <w:rFonts w:ascii="Times-Roman" w:eastAsiaTheme="minorHAnsi" w:hAnsi="Times-Roman" w:cs="Times-Roman"/>
          <w:sz w:val="26"/>
          <w:szCs w:val="26"/>
          <w:lang w:eastAsia="en-US"/>
        </w:rPr>
        <w:t>;</w:t>
      </w:r>
    </w:p>
    <w:p w14:paraId="4B6FEDA8" w14:textId="77777777" w:rsidR="00EB185C" w:rsidRPr="000549DB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g) dal Comandante della Polizia municipale;</w:t>
      </w:r>
    </w:p>
    <w:p w14:paraId="1FFD1F33" w14:textId="77777777" w:rsidR="00EB185C" w:rsidRDefault="00EB185C" w:rsidP="000549D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h) dal Commissa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>rio della Polizia di Stato</w:t>
      </w:r>
      <w:r w:rsidR="0008643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o suo delegato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e dal Comandante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della locale Stazione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dei Carabinie</w:t>
      </w:r>
      <w:r w:rsidR="00BC68B0">
        <w:rPr>
          <w:rFonts w:ascii="Times-Roman" w:eastAsiaTheme="minorHAnsi" w:hAnsi="Times-Roman" w:cs="Times-Roman"/>
          <w:sz w:val="26"/>
          <w:szCs w:val="26"/>
          <w:lang w:eastAsia="en-US"/>
        </w:rPr>
        <w:t>ri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;</w:t>
      </w:r>
    </w:p>
    <w:p w14:paraId="4CA2A0D9" w14:textId="77777777" w:rsidR="00EB185C" w:rsidRDefault="0008643F" w:rsidP="000549D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i) dal</w:t>
      </w:r>
      <w:r w:rsidR="004C71A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>
        <w:rPr>
          <w:rFonts w:ascii="Times-Roman" w:eastAsiaTheme="minorHAnsi" w:hAnsi="Times-Roman" w:cs="Times-Roman"/>
          <w:sz w:val="26"/>
          <w:szCs w:val="26"/>
          <w:lang w:eastAsia="en-US"/>
        </w:rPr>
        <w:t>rappresentante dei Dirigenti delle Scuole statali di secondo grado,</w:t>
      </w:r>
      <w:r w:rsidR="000549D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8E5BBF">
        <w:rPr>
          <w:rFonts w:ascii="Times-Roman" w:eastAsiaTheme="minorHAnsi" w:hAnsi="Times-Roman" w:cs="Times-Roman"/>
          <w:sz w:val="26"/>
          <w:szCs w:val="26"/>
          <w:lang w:eastAsia="en-US"/>
        </w:rPr>
        <w:t>appositamente designato</w:t>
      </w:r>
      <w:r w:rsidR="00EB185C">
        <w:rPr>
          <w:rFonts w:ascii="Times-Roman" w:eastAsiaTheme="minorHAnsi" w:hAnsi="Times-Roman" w:cs="Times-Roman"/>
          <w:sz w:val="26"/>
          <w:szCs w:val="26"/>
          <w:lang w:eastAsia="en-US"/>
        </w:rPr>
        <w:t>;</w:t>
      </w:r>
    </w:p>
    <w:p w14:paraId="16017CF3" w14:textId="77777777" w:rsidR="00366E26" w:rsidRDefault="00366E26" w:rsidP="000549D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Sulla base degli argomenti in discussione, possono, altresì, essere invitati a partecipare alle riunioni dell’Osservatorio.</w:t>
      </w:r>
    </w:p>
    <w:p w14:paraId="52234121" w14:textId="77777777" w:rsidR="00EB185C" w:rsidRPr="004C71A3" w:rsidRDefault="00366E26" w:rsidP="00366E26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a) </w:t>
      </w:r>
      <w:r w:rsidR="000549DB" w:rsidRPr="004C71A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un rappresentante</w:t>
      </w:r>
      <w:r w:rsidR="00EB185C" w:rsidRPr="004C71A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della </w:t>
      </w:r>
      <w:r w:rsidR="004C71A3">
        <w:rPr>
          <w:rFonts w:ascii="Times-Roman" w:eastAsiaTheme="minorHAnsi" w:hAnsi="Times-Roman" w:cs="Times-Roman"/>
          <w:sz w:val="26"/>
          <w:szCs w:val="26"/>
          <w:lang w:eastAsia="en-US"/>
        </w:rPr>
        <w:t>Organizzazioni datoriali costituite ed operanti sul territorio, designat</w:t>
      </w:r>
      <w:r w:rsidR="0066713F">
        <w:rPr>
          <w:rFonts w:ascii="Times-Roman" w:eastAsiaTheme="minorHAnsi" w:hAnsi="Times-Roman" w:cs="Times-Roman"/>
          <w:sz w:val="26"/>
          <w:szCs w:val="26"/>
          <w:lang w:eastAsia="en-US"/>
        </w:rPr>
        <w:t>e dagli Organismi preposti</w:t>
      </w:r>
      <w:r w:rsidR="00EB185C" w:rsidRPr="004C71A3">
        <w:rPr>
          <w:rFonts w:ascii="Times-Roman" w:eastAsiaTheme="minorHAnsi" w:hAnsi="Times-Roman" w:cs="Times-Roman"/>
          <w:sz w:val="26"/>
          <w:szCs w:val="26"/>
          <w:lang w:eastAsia="en-US"/>
        </w:rPr>
        <w:t>;</w:t>
      </w:r>
    </w:p>
    <w:p w14:paraId="2D867A70" w14:textId="77777777" w:rsidR="00EB185C" w:rsidRDefault="00366E26" w:rsidP="000549D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b) </w:t>
      </w:r>
      <w:r w:rsidR="000549DB" w:rsidRPr="004C71A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Rappresentanti</w:t>
      </w:r>
      <w:r w:rsidR="00EB185C" w:rsidRPr="004C71A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delle Organizzazioni sindacali</w:t>
      </w:r>
      <w:r w:rsidR="000549DB" w:rsidRPr="004C71A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4C71A3">
        <w:rPr>
          <w:rFonts w:ascii="Times-Roman" w:eastAsiaTheme="minorHAnsi" w:hAnsi="Times-Roman" w:cs="Times-Roman"/>
          <w:sz w:val="26"/>
          <w:szCs w:val="26"/>
          <w:lang w:eastAsia="en-US"/>
        </w:rPr>
        <w:t>operanti sul territorio</w:t>
      </w:r>
      <w:r w:rsidR="0066713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,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preventivamente designati</w:t>
      </w:r>
      <w:r w:rsidR="0066713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dagli Organismi preposti</w:t>
      </w:r>
      <w:r w:rsidR="00EB185C" w:rsidRPr="004C71A3">
        <w:rPr>
          <w:rFonts w:ascii="Times-Roman" w:eastAsiaTheme="minorHAnsi" w:hAnsi="Times-Roman" w:cs="Times-Roman"/>
          <w:sz w:val="26"/>
          <w:szCs w:val="26"/>
          <w:lang w:eastAsia="en-US"/>
        </w:rPr>
        <w:t>;</w:t>
      </w:r>
    </w:p>
    <w:p w14:paraId="1B13E04C" w14:textId="77777777" w:rsidR="004C71A3" w:rsidRDefault="00366E26" w:rsidP="000549D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c)</w:t>
      </w:r>
      <w:r w:rsidR="004C71A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un rappresentante degli Ordini professionali,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preventivamente </w:t>
      </w:r>
      <w:r w:rsidR="004C71A3">
        <w:rPr>
          <w:rFonts w:ascii="Times-Roman" w:eastAsiaTheme="minorHAnsi" w:hAnsi="Times-Roman" w:cs="Times-Roman"/>
          <w:sz w:val="26"/>
          <w:szCs w:val="26"/>
          <w:lang w:eastAsia="en-US"/>
        </w:rPr>
        <w:t>designato dagli Organi</w:t>
      </w:r>
      <w:r w:rsidR="0066713F">
        <w:rPr>
          <w:rFonts w:ascii="Times-Roman" w:eastAsiaTheme="minorHAnsi" w:hAnsi="Times-Roman" w:cs="Times-Roman"/>
          <w:sz w:val="26"/>
          <w:szCs w:val="26"/>
          <w:lang w:eastAsia="en-US"/>
        </w:rPr>
        <w:t>smi</w:t>
      </w:r>
      <w:r w:rsidR="004C71A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preposti;</w:t>
      </w:r>
    </w:p>
    <w:p w14:paraId="649093A2" w14:textId="77777777" w:rsidR="00EB185C" w:rsidRPr="003D6543" w:rsidRDefault="00366E26" w:rsidP="000549D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d) </w:t>
      </w:r>
      <w:r w:rsidR="004C71A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4C71A3"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>un rappresentante</w:t>
      </w:r>
      <w:r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preventivamente </w:t>
      </w:r>
      <w:r w:rsidR="004C71A3"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>designato</w:t>
      </w:r>
      <w:r w:rsidR="00EB185C"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dalle Associazioni e/o Cooperative del</w:t>
      </w:r>
      <w:r w:rsidR="000549DB"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>volontariato del terzo settore presenti sul territorio e che svolgono da almeno</w:t>
      </w:r>
      <w:r w:rsidR="000549DB"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>due anni attività in favore delle politiche di sostegno alla legalità, di impegno</w:t>
      </w:r>
      <w:r w:rsidR="000549DB"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>contro la criminalità e di prevenzione dei fenomeni malavitosi.</w:t>
      </w:r>
    </w:p>
    <w:p w14:paraId="197C8765" w14:textId="77777777" w:rsidR="00EB185C" w:rsidRDefault="00EB185C" w:rsidP="00366E26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2. Il Sindaco provvederà a richiedere ai soggetti interessati la designazione del loro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o dei loro rappresentanti assegnando, all’uopo, il termine massimo di giorni 20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dalla data della richiesta. Trascorso detto termine, senza esito, il Sindaco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procederà alla designazione.</w:t>
      </w:r>
    </w:p>
    <w:p w14:paraId="5962E37D" w14:textId="77777777" w:rsidR="008D0F1F" w:rsidRDefault="008D0F1F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1BE1C49" w14:textId="77777777" w:rsidR="00EB185C" w:rsidRDefault="00EB185C" w:rsidP="008D0F1F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ART. 4</w:t>
      </w:r>
    </w:p>
    <w:p w14:paraId="354FE93F" w14:textId="77777777" w:rsidR="008D0F1F" w:rsidRDefault="00EB185C" w:rsidP="00366E26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NOMINA</w:t>
      </w:r>
    </w:p>
    <w:p w14:paraId="55B3EFBA" w14:textId="77777777" w:rsidR="00EB185C" w:rsidRDefault="00EB185C" w:rsidP="008D0F1F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1. Il Consiglio comunale procede alla nomina dell’Osservatorio permanente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sulla legalità e sicurezza, tenuto conto delle designazioni pervenute ed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a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cquisite alla stregua di quanto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dis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>posto dal precedente articolo 3.</w:t>
      </w:r>
    </w:p>
    <w:p w14:paraId="7300843D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2. Il Sindaco, in esecuzione, provvede 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>all’insediamento entro il 30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° giorno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successivo.</w:t>
      </w:r>
    </w:p>
    <w:p w14:paraId="75DE17E9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</w:p>
    <w:p w14:paraId="64483A4E" w14:textId="77777777" w:rsidR="00EB185C" w:rsidRDefault="00EB185C" w:rsidP="008D0F1F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ART. 5</w:t>
      </w:r>
    </w:p>
    <w:p w14:paraId="41F1BB7F" w14:textId="77777777" w:rsidR="008D0F1F" w:rsidRDefault="00EB185C" w:rsidP="00002B64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FUNZIONAMENTO</w:t>
      </w:r>
    </w:p>
    <w:p w14:paraId="71B2C5F5" w14:textId="77777777" w:rsidR="00EB185C" w:rsidRDefault="00EB185C" w:rsidP="008D0F1F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1. L’Osservatorio si riunisce ad iniziativa del Sindaco e su sua convocazione, 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abitualmente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con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cadenza trimestrale presso</w:t>
      </w:r>
      <w:r w:rsid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la Sede comunale, previo avviso da recapitare ai componenti 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dieci giorni</w:t>
      </w:r>
      <w:r w:rsid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prima della data della riunione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, ed in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caso di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ur</w:t>
      </w:r>
      <w:r w:rsidR="00D11A7B">
        <w:rPr>
          <w:rFonts w:ascii="Times-Roman" w:eastAsiaTheme="minorHAnsi" w:hAnsi="Times-Roman" w:cs="Times-Roman"/>
          <w:sz w:val="26"/>
          <w:szCs w:val="26"/>
          <w:lang w:eastAsia="en-US"/>
        </w:rPr>
        <w:t>genza,  cinque giorni prima.</w:t>
      </w:r>
    </w:p>
    <w:p w14:paraId="72614B80" w14:textId="77777777" w:rsidR="00EB185C" w:rsidRDefault="008D0F1F" w:rsidP="008D0F1F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2. L’Osservatorio predispone</w:t>
      </w:r>
      <w:r w:rsidR="00EB185C">
        <w:rPr>
          <w:rFonts w:ascii="Times-Roman" w:eastAsiaTheme="minorHAnsi" w:hAnsi="Times-Roman" w:cs="Times-Roman"/>
          <w:sz w:val="26"/>
          <w:szCs w:val="26"/>
          <w:lang w:eastAsia="en-US"/>
        </w:rPr>
        <w:t>, entro il 31 di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cembre di ogni anno, relazione</w:t>
      </w:r>
      <w:r w:rsidR="00EB185C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sullo stato di sicurezza della Città della quale il Sindaco darà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>
        <w:rPr>
          <w:rFonts w:ascii="Times-Roman" w:eastAsiaTheme="minorHAnsi" w:hAnsi="Times-Roman" w:cs="Times-Roman"/>
          <w:sz w:val="26"/>
          <w:szCs w:val="26"/>
          <w:lang w:eastAsia="en-US"/>
        </w:rPr>
        <w:t>informazione ai cittadini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disponendo la pub</w:t>
      </w:r>
      <w:r w:rsidR="0008643F">
        <w:rPr>
          <w:rFonts w:ascii="Times-Roman" w:eastAsiaTheme="minorHAnsi" w:hAnsi="Times-Roman" w:cs="Times-Roman"/>
          <w:sz w:val="26"/>
          <w:szCs w:val="26"/>
          <w:lang w:eastAsia="en-US"/>
        </w:rPr>
        <w:t>blicazione della stessa sul sito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istituzionale informatico dell’Ente</w:t>
      </w:r>
      <w:r w:rsidR="00EB185C">
        <w:rPr>
          <w:rFonts w:ascii="Times-Roman" w:eastAsiaTheme="minorHAnsi" w:hAnsi="Times-Roman" w:cs="Times-Roman"/>
          <w:sz w:val="26"/>
          <w:szCs w:val="26"/>
          <w:lang w:eastAsia="en-US"/>
        </w:rPr>
        <w:t>.</w:t>
      </w:r>
    </w:p>
    <w:p w14:paraId="199A6550" w14:textId="77777777" w:rsidR="008D0F1F" w:rsidRDefault="008D0F1F" w:rsidP="008D0F1F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32D729F" w14:textId="77777777" w:rsidR="00EB185C" w:rsidRPr="00D11A7B" w:rsidRDefault="00D11A7B" w:rsidP="00D11A7B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lastRenderedPageBreak/>
        <w:t>3.</w:t>
      </w:r>
      <w:r w:rsidR="008D0F1F"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>l’Osservatorio ha la stessa</w:t>
      </w:r>
      <w:r w:rsidR="00EB185C"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durata in carica del</w:t>
      </w:r>
      <w:r w:rsidR="008D0F1F"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Consiglio comunale che lo nomina.</w:t>
      </w:r>
    </w:p>
    <w:p w14:paraId="11931F52" w14:textId="77777777" w:rsidR="00D11A7B" w:rsidRPr="00D11A7B" w:rsidRDefault="00D11A7B" w:rsidP="00D11A7B">
      <w:pPr>
        <w:pStyle w:val="Paragrafoelenco"/>
        <w:autoSpaceDE w:val="0"/>
        <w:autoSpaceDN w:val="0"/>
        <w:adjustRightInd w:val="0"/>
        <w:ind w:left="72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425534C" w14:textId="77777777" w:rsidR="00EB185C" w:rsidRDefault="00EB185C" w:rsidP="00D11A7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4. Il componente dell’Osservatorio dimissionario o deceduto è sostituito nel rispetto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delle indicazioni di cui al preced</w:t>
      </w:r>
      <w:r w:rsidR="00D11A7B">
        <w:rPr>
          <w:rFonts w:ascii="Times-Roman" w:eastAsiaTheme="minorHAnsi" w:hAnsi="Times-Roman" w:cs="Times-Roman"/>
          <w:sz w:val="26"/>
          <w:szCs w:val="26"/>
          <w:lang w:eastAsia="en-US"/>
        </w:rPr>
        <w:t>ente articolo 3. L’assenza reiterata a cinque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sedute</w:t>
      </w:r>
      <w:r w:rsidR="008D0F1F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consecutive dell’Osservatorio, senza valida giustificazione, comporterà la</w:t>
      </w:r>
      <w:r w:rsid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decadenza dalla carica.</w:t>
      </w:r>
    </w:p>
    <w:p w14:paraId="36F96187" w14:textId="77777777" w:rsidR="00D11A7B" w:rsidRDefault="00D11A7B" w:rsidP="00D11A7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181F467F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5. Per la validità delle sedute dell’Osservatorio è richiesta la presenza di almeno la</w:t>
      </w:r>
      <w:r w:rsid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metà dei </w:t>
      </w:r>
      <w:r w:rsidR="002256CE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suoi componenti, </w:t>
      </w:r>
      <w:r w:rsidR="002256CE" w:rsidRPr="003D6543">
        <w:rPr>
          <w:rFonts w:ascii="Times-Roman" w:eastAsiaTheme="minorHAnsi" w:hAnsi="Times-Roman" w:cs="Times-Roman"/>
          <w:sz w:val="26"/>
          <w:szCs w:val="26"/>
          <w:lang w:eastAsia="en-US"/>
        </w:rPr>
        <w:t>più uno.</w:t>
      </w:r>
    </w:p>
    <w:p w14:paraId="02E0306F" w14:textId="77777777" w:rsidR="00D11A7B" w:rsidRDefault="00D11A7B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DAED1F0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6. L’Osservatorio decide a maggioranza dei presenti.</w:t>
      </w:r>
    </w:p>
    <w:p w14:paraId="66B8C632" w14:textId="77777777" w:rsidR="00D11A7B" w:rsidRDefault="00D11A7B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9984D32" w14:textId="77777777" w:rsidR="00EB185C" w:rsidRDefault="00EB185C" w:rsidP="00D11A7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7. Il Sindaco-Presidente è tenuto a convocare l’Osservatorio qualora ne sia</w:t>
      </w:r>
      <w:r w:rsid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presentata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richiesta da almeno un terzo dei componenti con arrotondamento per</w:t>
      </w:r>
      <w:r w:rsid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2256CE" w:rsidRPr="002256CE">
        <w:rPr>
          <w:rFonts w:ascii="Times-Roman" w:eastAsiaTheme="minorHAnsi" w:hAnsi="Times-Roman" w:cs="Times-Roman"/>
          <w:b/>
          <w:i/>
          <w:sz w:val="26"/>
          <w:szCs w:val="26"/>
          <w:lang w:eastAsia="en-US"/>
        </w:rPr>
        <w:t>eccesso</w:t>
      </w:r>
      <w:r w:rsidRPr="002256CE">
        <w:rPr>
          <w:rFonts w:ascii="Times-Roman" w:eastAsiaTheme="minorHAnsi" w:hAnsi="Times-Roman" w:cs="Times-Roman"/>
          <w:b/>
          <w:i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o dalla Conferenza dei Capigruppo consiliari.</w:t>
      </w:r>
    </w:p>
    <w:p w14:paraId="42D6599F" w14:textId="77777777" w:rsidR="00D11A7B" w:rsidRDefault="00D11A7B" w:rsidP="00D11A7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3438F62A" w14:textId="77777777" w:rsidR="0008643F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8. L’Amministrazione comunale istituisce un ufficio di Segreteria</w:t>
      </w:r>
      <w:r w:rsid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dell’Osservatorio.</w:t>
      </w:r>
    </w:p>
    <w:p w14:paraId="08487517" w14:textId="77777777" w:rsidR="00D11A7B" w:rsidRDefault="00D11A7B" w:rsidP="00D11A7B">
      <w:pPr>
        <w:autoSpaceDE w:val="0"/>
        <w:autoSpaceDN w:val="0"/>
        <w:adjustRightInd w:val="0"/>
        <w:jc w:val="center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EC09FF0" w14:textId="77777777" w:rsidR="00EB185C" w:rsidRDefault="00EB185C" w:rsidP="00D11A7B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ART. 6</w:t>
      </w:r>
    </w:p>
    <w:p w14:paraId="1EC496F3" w14:textId="77777777" w:rsidR="006B468D" w:rsidRDefault="00EB185C" w:rsidP="00002B64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ONERI</w:t>
      </w:r>
    </w:p>
    <w:p w14:paraId="76DFBD2B" w14:textId="77777777" w:rsidR="00EB185C" w:rsidRPr="00D11A7B" w:rsidRDefault="00D11A7B" w:rsidP="00D11A7B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>La Giunta Comunale provvede</w:t>
      </w:r>
      <w:r w:rsidR="00EB185C"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a dotare l’Osservatorio di una Segreteria</w:t>
      </w:r>
      <w:r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>organizzativa e di supporti strumentali e tecnici per il funzionamento. A tal fine,</w:t>
      </w:r>
      <w:r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annualmente, in occasione dell’approvazione del bilancio di </w:t>
      </w:r>
      <w:r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>previsione e del piano esecutivo di gestione, viene previsto uno specifico capitolo</w:t>
      </w:r>
      <w:r w:rsidR="00EB185C"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sul quale viene </w:t>
      </w:r>
      <w:r w:rsidR="00EB185C"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>stanzia</w:t>
      </w:r>
      <w:r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>ta un</w:t>
      </w:r>
      <w:r>
        <w:rPr>
          <w:rFonts w:ascii="Times-Roman" w:eastAsiaTheme="minorHAnsi" w:hAnsi="Times-Roman" w:cs="Times-Roman"/>
          <w:sz w:val="26"/>
          <w:szCs w:val="26"/>
          <w:lang w:eastAsia="en-US"/>
        </w:rPr>
        <w:t>’adeguata dotazione</w:t>
      </w:r>
      <w:r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 w:rsidRPr="00D11A7B">
        <w:rPr>
          <w:rFonts w:ascii="Times-Roman" w:eastAsiaTheme="minorHAnsi" w:hAnsi="Times-Roman" w:cs="Times-Roman"/>
          <w:sz w:val="26"/>
          <w:szCs w:val="26"/>
          <w:lang w:eastAsia="en-US"/>
        </w:rPr>
        <w:t>finanziaria.</w:t>
      </w:r>
    </w:p>
    <w:p w14:paraId="0069131C" w14:textId="77777777" w:rsidR="00D11A7B" w:rsidRPr="000C71AD" w:rsidRDefault="00D11A7B" w:rsidP="000C71A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A0ECFA5" w14:textId="77777777" w:rsidR="00EB185C" w:rsidRDefault="00EB185C" w:rsidP="00D11A7B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ART. 7</w:t>
      </w:r>
    </w:p>
    <w:p w14:paraId="0540C8CF" w14:textId="77777777" w:rsidR="006B468D" w:rsidRDefault="00EB185C" w:rsidP="00002B64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 xml:space="preserve"> PARTECIPAZIONE</w:t>
      </w:r>
    </w:p>
    <w:p w14:paraId="2164633A" w14:textId="77777777" w:rsidR="00EB185C" w:rsidRPr="000F7F3C" w:rsidRDefault="000F7F3C" w:rsidP="000F7F3C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1.</w:t>
      </w:r>
      <w:r w:rsidR="00EB185C"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>Il Sindaco-Presidente, in ragione degli argomenti da trattare in seno</w:t>
      </w:r>
      <w:r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>all’Osservatorio, può invitare a partecipare alle riunioni il Prefetto della</w:t>
      </w:r>
      <w:r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>Pro</w:t>
      </w:r>
      <w:r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vincia o suo rappresentante; il </w:t>
      </w:r>
      <w:r w:rsidR="00EB185C"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>Questore della Provincia o suo rappresentante;</w:t>
      </w:r>
      <w:r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>i Presidenti</w:t>
      </w:r>
      <w:r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della Regione o della Città Metropolitana</w:t>
      </w:r>
      <w:r w:rsidR="00EB185C"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o loro</w:t>
      </w:r>
      <w:r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rappresentanti; i Parlamentari.</w:t>
      </w:r>
    </w:p>
    <w:p w14:paraId="233F5A20" w14:textId="77777777" w:rsidR="000F7F3C" w:rsidRPr="000F7F3C" w:rsidRDefault="000F7F3C" w:rsidP="000F7F3C">
      <w:pPr>
        <w:pStyle w:val="Paragrafoelenco"/>
        <w:autoSpaceDE w:val="0"/>
        <w:autoSpaceDN w:val="0"/>
        <w:adjustRightInd w:val="0"/>
        <w:ind w:left="72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0713DFD" w14:textId="77777777" w:rsidR="00EB185C" w:rsidRPr="000F7F3C" w:rsidRDefault="000F7F3C" w:rsidP="000F7F3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2.</w:t>
      </w:r>
      <w:r w:rsidR="00EB185C"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>Possono, altresì, essere invitate a partecipare personalità esperte in materia di</w:t>
      </w:r>
      <w:r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 </w:t>
      </w:r>
      <w:r w:rsidR="00EB185C"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>sicurezza.</w:t>
      </w:r>
    </w:p>
    <w:p w14:paraId="2363EDE0" w14:textId="77777777" w:rsidR="000F7F3C" w:rsidRPr="000F7F3C" w:rsidRDefault="000F7F3C" w:rsidP="000F7F3C">
      <w:pPr>
        <w:pStyle w:val="Paragrafoelenco"/>
        <w:autoSpaceDE w:val="0"/>
        <w:autoSpaceDN w:val="0"/>
        <w:adjustRightInd w:val="0"/>
        <w:ind w:left="72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BA9717B" w14:textId="77777777" w:rsidR="00EB185C" w:rsidRDefault="00EB185C" w:rsidP="000F7F3C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ART. 8</w:t>
      </w:r>
    </w:p>
    <w:p w14:paraId="3E7363FC" w14:textId="77777777" w:rsidR="00EB185C" w:rsidRDefault="00EB185C" w:rsidP="000F7F3C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GRATUITÀ DELLA FUNZIONE</w:t>
      </w:r>
    </w:p>
    <w:p w14:paraId="6BCF8E64" w14:textId="77777777" w:rsidR="006B468D" w:rsidRDefault="00EB185C" w:rsidP="000F7F3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  <w:r w:rsidRPr="000F7F3C">
        <w:rPr>
          <w:rFonts w:ascii="Times-Roman" w:eastAsiaTheme="minorHAnsi" w:hAnsi="Times-Roman" w:cs="Times-Roman"/>
          <w:sz w:val="26"/>
          <w:szCs w:val="26"/>
          <w:lang w:eastAsia="en-US"/>
        </w:rPr>
        <w:t>La funzione di componen</w:t>
      </w:r>
      <w:r w:rsidR="00366E26">
        <w:rPr>
          <w:rFonts w:ascii="Times-Roman" w:eastAsiaTheme="minorHAnsi" w:hAnsi="Times-Roman" w:cs="Times-Roman"/>
          <w:sz w:val="26"/>
          <w:szCs w:val="26"/>
          <w:lang w:eastAsia="en-US"/>
        </w:rPr>
        <w:t>te dell’Osservatorio è gratuita.</w:t>
      </w:r>
    </w:p>
    <w:p w14:paraId="149675FC" w14:textId="77777777" w:rsidR="000F7F3C" w:rsidRPr="000F7F3C" w:rsidRDefault="000F7F3C" w:rsidP="000F7F3C">
      <w:pPr>
        <w:autoSpaceDE w:val="0"/>
        <w:autoSpaceDN w:val="0"/>
        <w:adjustRightInd w:val="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B390E80" w14:textId="77777777" w:rsidR="000F7F3C" w:rsidRPr="000F7F3C" w:rsidRDefault="000F7F3C" w:rsidP="000F7F3C">
      <w:pPr>
        <w:autoSpaceDE w:val="0"/>
        <w:autoSpaceDN w:val="0"/>
        <w:adjustRightInd w:val="0"/>
        <w:ind w:left="360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6EE290F" w14:textId="77777777" w:rsidR="00EB185C" w:rsidRDefault="00EB185C" w:rsidP="000F7F3C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ART. 9</w:t>
      </w:r>
    </w:p>
    <w:p w14:paraId="79A9CEEE" w14:textId="77777777" w:rsidR="00EB185C" w:rsidRDefault="00EB185C" w:rsidP="000F7F3C">
      <w:pPr>
        <w:autoSpaceDE w:val="0"/>
        <w:autoSpaceDN w:val="0"/>
        <w:adjustRightInd w:val="0"/>
        <w:jc w:val="center"/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</w:pPr>
      <w:r>
        <w:rPr>
          <w:rFonts w:ascii="Times-Bold" w:eastAsiaTheme="minorHAnsi" w:hAnsi="Times-Bold" w:cs="Times-Bold"/>
          <w:b/>
          <w:bCs/>
          <w:sz w:val="26"/>
          <w:szCs w:val="26"/>
          <w:lang w:eastAsia="en-US"/>
        </w:rPr>
        <w:t>ENTRATA IN VIGORE</w:t>
      </w:r>
    </w:p>
    <w:p w14:paraId="0274804B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  <w:r>
        <w:rPr>
          <w:rFonts w:ascii="Times-Roman" w:eastAsiaTheme="minorHAnsi" w:hAnsi="Times-Roman" w:cs="Times-Roman"/>
          <w:sz w:val="26"/>
          <w:szCs w:val="26"/>
          <w:lang w:eastAsia="en-US"/>
        </w:rPr>
        <w:t>1.</w:t>
      </w:r>
      <w:r w:rsidR="00EB185C" w:rsidRPr="006B468D">
        <w:rPr>
          <w:rFonts w:ascii="Times-Roman" w:eastAsiaTheme="minorHAnsi" w:hAnsi="Times-Roman" w:cs="Times-Roman"/>
          <w:sz w:val="26"/>
          <w:szCs w:val="26"/>
          <w:lang w:eastAsia="en-US"/>
        </w:rPr>
        <w:t>Il presente regolamento entra in vigore dopo l’es</w:t>
      </w:r>
      <w:r w:rsidR="000F7F3C" w:rsidRPr="006B468D">
        <w:rPr>
          <w:rFonts w:ascii="Times-Roman" w:eastAsiaTheme="minorHAnsi" w:hAnsi="Times-Roman" w:cs="Times-Roman"/>
          <w:sz w:val="26"/>
          <w:szCs w:val="26"/>
          <w:lang w:eastAsia="en-US"/>
        </w:rPr>
        <w:t xml:space="preserve">ecutività della deliberazione di </w:t>
      </w:r>
      <w:r w:rsidR="00EB185C" w:rsidRPr="006B468D">
        <w:rPr>
          <w:rFonts w:ascii="Times-Roman" w:eastAsiaTheme="minorHAnsi" w:hAnsi="Times-Roman" w:cs="Times-Roman"/>
          <w:sz w:val="26"/>
          <w:szCs w:val="26"/>
          <w:lang w:eastAsia="en-US"/>
        </w:rPr>
        <w:t>approvazione.</w:t>
      </w:r>
    </w:p>
    <w:p w14:paraId="4A6A6C3A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FC6C2A3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3725E8B1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45CA358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30F34707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7FF8AC22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1F09755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5EA387A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5855454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700C0DE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22F3F598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4219F37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18E5B00A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3E9F25CE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7A7A362F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3D7DADEC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19861286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78165B6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A27D873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75A78BBD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37A8DB4E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3F20CBC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7DF7A7D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336AE05B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262DDFD2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8F0502F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640ED32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3D87400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1E6FFDC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75F28F48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756FC0BA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B419E46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7F61C342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48CC764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7CA3075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72B1A5E8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2436B855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24A62E1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5AC02EF3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19D5F89F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0AFA528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2D5FCE9E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F864A21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DD6BFCF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628950A6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8E7D23C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0793126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445F411E" w14:textId="77777777" w:rsid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1551EC3A" w14:textId="77777777" w:rsidR="006B468D" w:rsidRPr="006B468D" w:rsidRDefault="006B468D" w:rsidP="006B468D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6"/>
          <w:szCs w:val="26"/>
          <w:lang w:eastAsia="en-US"/>
        </w:rPr>
      </w:pPr>
    </w:p>
    <w:p w14:paraId="02E02139" w14:textId="77777777" w:rsidR="00EB185C" w:rsidRDefault="00EB185C" w:rsidP="00EB185C">
      <w:p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</w:p>
    <w:p w14:paraId="6B674B5D" w14:textId="77777777" w:rsidR="00EA2A8C" w:rsidRDefault="00EA2A8C" w:rsidP="00EA2A8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4C32FD0" w14:textId="77777777" w:rsidR="00FE2731" w:rsidRDefault="00FE2731" w:rsidP="00FE2731">
      <w:pPr>
        <w:jc w:val="both"/>
      </w:pPr>
    </w:p>
    <w:p w14:paraId="7F0E273C" w14:textId="77777777" w:rsidR="00FE2731" w:rsidRDefault="00FE2731" w:rsidP="00FE2731">
      <w:pPr>
        <w:jc w:val="both"/>
      </w:pPr>
      <w:r>
        <w:t xml:space="preserve">     </w:t>
      </w:r>
    </w:p>
    <w:p w14:paraId="5D041F8F" w14:textId="77777777" w:rsidR="00FE2731" w:rsidRDefault="00FE2731" w:rsidP="00EA2A8C">
      <w:pPr>
        <w:jc w:val="both"/>
        <w:rPr>
          <w:i/>
        </w:rPr>
      </w:pPr>
      <w:r>
        <w:lastRenderedPageBreak/>
        <w:t xml:space="preserve">    </w:t>
      </w:r>
    </w:p>
    <w:p w14:paraId="023B870C" w14:textId="77777777" w:rsidR="00E74C02" w:rsidRDefault="00E74C02" w:rsidP="00E74C02">
      <w:pPr>
        <w:jc w:val="both"/>
        <w:rPr>
          <w:sz w:val="22"/>
          <w:szCs w:val="22"/>
        </w:rPr>
      </w:pPr>
    </w:p>
    <w:tbl>
      <w:tblPr>
        <w:tblW w:w="8235" w:type="dxa"/>
        <w:tblInd w:w="1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160"/>
      </w:tblGrid>
      <w:tr w:rsidR="00E74C02" w14:paraId="066FCBEF" w14:textId="77777777" w:rsidTr="00E74C02">
        <w:trPr>
          <w:trHeight w:val="2693"/>
        </w:trPr>
        <w:tc>
          <w:tcPr>
            <w:tcW w:w="8079" w:type="dxa"/>
          </w:tcPr>
          <w:p w14:paraId="40B87F85" w14:textId="77777777" w:rsidR="00E74C02" w:rsidRDefault="00E74C02"/>
          <w:tbl>
            <w:tblPr>
              <w:tblW w:w="7800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5607"/>
            </w:tblGrid>
            <w:tr w:rsidR="00E74C02" w14:paraId="4E104B76" w14:textId="77777777" w:rsidTr="00E74C02">
              <w:trPr>
                <w:trHeight w:val="1232"/>
              </w:trPr>
              <w:tc>
                <w:tcPr>
                  <w:tcW w:w="2193" w:type="dxa"/>
                </w:tcPr>
                <w:p w14:paraId="0100F8F3" w14:textId="77777777" w:rsidR="00E74C02" w:rsidRPr="00E74C02" w:rsidRDefault="00E74C02"/>
              </w:tc>
              <w:tc>
                <w:tcPr>
                  <w:tcW w:w="5607" w:type="dxa"/>
                </w:tcPr>
                <w:p w14:paraId="1D5B2E6A" w14:textId="77777777" w:rsidR="00E74C02" w:rsidRDefault="00E74C02"/>
              </w:tc>
            </w:tr>
          </w:tbl>
          <w:p w14:paraId="622BC0A0" w14:textId="77777777" w:rsidR="00E74C02" w:rsidRDefault="00E74C02">
            <w:pPr>
              <w:jc w:val="center"/>
              <w:rPr>
                <w:i/>
                <w:sz w:val="22"/>
                <w:szCs w:val="22"/>
                <w:lang w:eastAsia="en-US" w:bidi="en-US"/>
              </w:rPr>
            </w:pPr>
          </w:p>
        </w:tc>
        <w:tc>
          <w:tcPr>
            <w:tcW w:w="160" w:type="dxa"/>
          </w:tcPr>
          <w:p w14:paraId="438998AF" w14:textId="77777777" w:rsidR="00E74C02" w:rsidRDefault="00E74C02"/>
          <w:p w14:paraId="10B35442" w14:textId="77777777" w:rsidR="00E74C02" w:rsidRDefault="00E74C02"/>
          <w:p w14:paraId="4AB423EB" w14:textId="77777777" w:rsidR="00E74C02" w:rsidRDefault="00E74C02"/>
          <w:p w14:paraId="7BD2D432" w14:textId="77777777" w:rsidR="00E74C02" w:rsidRDefault="00E74C02"/>
          <w:p w14:paraId="62237C98" w14:textId="77777777" w:rsidR="00E74C02" w:rsidRDefault="00E74C02"/>
        </w:tc>
      </w:tr>
    </w:tbl>
    <w:p w14:paraId="09EF34D8" w14:textId="77777777" w:rsidR="00E74C02" w:rsidRPr="00D44F9F" w:rsidRDefault="00E74C02" w:rsidP="00E74C02">
      <w:pPr>
        <w:jc w:val="both"/>
        <w:rPr>
          <w:i/>
          <w:sz w:val="22"/>
          <w:szCs w:val="22"/>
        </w:rPr>
      </w:pPr>
    </w:p>
    <w:p w14:paraId="38CAEB9B" w14:textId="77777777" w:rsidR="00C33A47" w:rsidRDefault="00C33A47"/>
    <w:sectPr w:rsidR="00C33A47" w:rsidSect="00156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433D4" w14:textId="77777777" w:rsidR="00A51543" w:rsidRDefault="00A51543" w:rsidP="000F7F3C">
      <w:r>
        <w:separator/>
      </w:r>
    </w:p>
  </w:endnote>
  <w:endnote w:type="continuationSeparator" w:id="0">
    <w:p w14:paraId="733026BD" w14:textId="77777777" w:rsidR="00A51543" w:rsidRDefault="00A51543" w:rsidP="000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DD00" w14:textId="77777777" w:rsidR="005B4B09" w:rsidRDefault="005B4B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984401"/>
      <w:docPartObj>
        <w:docPartGallery w:val="Page Numbers (Bottom of Page)"/>
        <w:docPartUnique/>
      </w:docPartObj>
    </w:sdtPr>
    <w:sdtContent>
      <w:p w14:paraId="683B0566" w14:textId="77777777" w:rsidR="005B4B09" w:rsidRDefault="008378C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4B171C" w14:textId="77777777" w:rsidR="005B4B09" w:rsidRDefault="005B4B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F715" w14:textId="77777777" w:rsidR="005B4B09" w:rsidRDefault="005B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75B52" w14:textId="77777777" w:rsidR="00A51543" w:rsidRDefault="00A51543" w:rsidP="000F7F3C">
      <w:r>
        <w:separator/>
      </w:r>
    </w:p>
  </w:footnote>
  <w:footnote w:type="continuationSeparator" w:id="0">
    <w:p w14:paraId="648F65C9" w14:textId="77777777" w:rsidR="00A51543" w:rsidRDefault="00A51543" w:rsidP="000F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9D58" w14:textId="77777777" w:rsidR="005B4B09" w:rsidRDefault="005B4B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59A1" w14:textId="77777777" w:rsidR="005B4B09" w:rsidRDefault="005B4B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F854A" w14:textId="77777777" w:rsidR="005B4B09" w:rsidRDefault="005B4B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383"/>
    <w:multiLevelType w:val="hybridMultilevel"/>
    <w:tmpl w:val="8696D22E"/>
    <w:lvl w:ilvl="0" w:tplc="71184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244"/>
    <w:multiLevelType w:val="hybridMultilevel"/>
    <w:tmpl w:val="3D6CA5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43E"/>
    <w:multiLevelType w:val="hybridMultilevel"/>
    <w:tmpl w:val="6A047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95B39"/>
    <w:multiLevelType w:val="hybridMultilevel"/>
    <w:tmpl w:val="543CD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A4FB4"/>
    <w:multiLevelType w:val="hybridMultilevel"/>
    <w:tmpl w:val="348C6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306B7"/>
    <w:multiLevelType w:val="singleLevel"/>
    <w:tmpl w:val="896A38CA"/>
    <w:lvl w:ilvl="0"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6" w15:restartNumberingAfterBreak="0">
    <w:nsid w:val="7C425411"/>
    <w:multiLevelType w:val="hybridMultilevel"/>
    <w:tmpl w:val="1CB820B6"/>
    <w:lvl w:ilvl="0" w:tplc="4ED469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20425">
    <w:abstractNumId w:val="5"/>
  </w:num>
  <w:num w:numId="2" w16cid:durableId="131990423">
    <w:abstractNumId w:val="1"/>
  </w:num>
  <w:num w:numId="3" w16cid:durableId="46534719">
    <w:abstractNumId w:val="6"/>
  </w:num>
  <w:num w:numId="4" w16cid:durableId="1324967855">
    <w:abstractNumId w:val="0"/>
  </w:num>
  <w:num w:numId="5" w16cid:durableId="1784497931">
    <w:abstractNumId w:val="2"/>
  </w:num>
  <w:num w:numId="6" w16cid:durableId="43601822">
    <w:abstractNumId w:val="3"/>
  </w:num>
  <w:num w:numId="7" w16cid:durableId="757796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D7"/>
    <w:rsid w:val="00002B64"/>
    <w:rsid w:val="0001708C"/>
    <w:rsid w:val="0003342E"/>
    <w:rsid w:val="000549DB"/>
    <w:rsid w:val="00060A5F"/>
    <w:rsid w:val="0008643F"/>
    <w:rsid w:val="000C71AD"/>
    <w:rsid w:val="000F7F3C"/>
    <w:rsid w:val="0011571C"/>
    <w:rsid w:val="001421D3"/>
    <w:rsid w:val="001564F8"/>
    <w:rsid w:val="002256CE"/>
    <w:rsid w:val="002739B7"/>
    <w:rsid w:val="00274B3C"/>
    <w:rsid w:val="002B302C"/>
    <w:rsid w:val="002B7078"/>
    <w:rsid w:val="003162CC"/>
    <w:rsid w:val="00352341"/>
    <w:rsid w:val="00366E26"/>
    <w:rsid w:val="003D6543"/>
    <w:rsid w:val="003E65AE"/>
    <w:rsid w:val="00425F40"/>
    <w:rsid w:val="00447373"/>
    <w:rsid w:val="004602F4"/>
    <w:rsid w:val="00494314"/>
    <w:rsid w:val="004A4038"/>
    <w:rsid w:val="004C71A3"/>
    <w:rsid w:val="00512451"/>
    <w:rsid w:val="00585CDE"/>
    <w:rsid w:val="005B4B09"/>
    <w:rsid w:val="005E625A"/>
    <w:rsid w:val="00606C94"/>
    <w:rsid w:val="0066713F"/>
    <w:rsid w:val="006B468D"/>
    <w:rsid w:val="00704466"/>
    <w:rsid w:val="00747CE5"/>
    <w:rsid w:val="007C43E4"/>
    <w:rsid w:val="0081422A"/>
    <w:rsid w:val="008378CB"/>
    <w:rsid w:val="00863A66"/>
    <w:rsid w:val="00872A94"/>
    <w:rsid w:val="008833CB"/>
    <w:rsid w:val="008D0F1F"/>
    <w:rsid w:val="008E5BBF"/>
    <w:rsid w:val="008F1FF2"/>
    <w:rsid w:val="00914143"/>
    <w:rsid w:val="009273E0"/>
    <w:rsid w:val="0093196F"/>
    <w:rsid w:val="0095304D"/>
    <w:rsid w:val="009737DA"/>
    <w:rsid w:val="009D7C97"/>
    <w:rsid w:val="009E71EE"/>
    <w:rsid w:val="009F06D9"/>
    <w:rsid w:val="00A216AE"/>
    <w:rsid w:val="00A3750F"/>
    <w:rsid w:val="00A51543"/>
    <w:rsid w:val="00A70A41"/>
    <w:rsid w:val="00A73476"/>
    <w:rsid w:val="00A94DF8"/>
    <w:rsid w:val="00B25AD7"/>
    <w:rsid w:val="00B50EAF"/>
    <w:rsid w:val="00B7233D"/>
    <w:rsid w:val="00BA0438"/>
    <w:rsid w:val="00BC0304"/>
    <w:rsid w:val="00BC68B0"/>
    <w:rsid w:val="00C2649F"/>
    <w:rsid w:val="00C33A47"/>
    <w:rsid w:val="00C76B5E"/>
    <w:rsid w:val="00CB75AC"/>
    <w:rsid w:val="00CD0ED1"/>
    <w:rsid w:val="00D11A7B"/>
    <w:rsid w:val="00D44F9F"/>
    <w:rsid w:val="00D548BF"/>
    <w:rsid w:val="00E12F50"/>
    <w:rsid w:val="00E169B9"/>
    <w:rsid w:val="00E47ECC"/>
    <w:rsid w:val="00E74C02"/>
    <w:rsid w:val="00EA2A8C"/>
    <w:rsid w:val="00EB185C"/>
    <w:rsid w:val="00F21D8C"/>
    <w:rsid w:val="00F41D38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446D"/>
  <w15:docId w15:val="{0800F23A-CB5D-4CD3-9141-9203568C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AD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A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AD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7233D"/>
    <w:rPr>
      <w:rFonts w:ascii="Arial" w:hAnsi="Arial" w:cs="Arial" w:hint="default"/>
      <w:strike w:val="0"/>
      <w:dstrike w:val="0"/>
      <w:color w:val="05447E"/>
      <w:sz w:val="21"/>
      <w:szCs w:val="21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B7233D"/>
    <w:pPr>
      <w:spacing w:before="100" w:beforeAutospacing="1" w:after="100" w:afterAutospacing="1"/>
    </w:pPr>
    <w:rPr>
      <w:sz w:val="24"/>
      <w:szCs w:val="24"/>
    </w:rPr>
  </w:style>
  <w:style w:type="paragraph" w:customStyle="1" w:styleId="popolo">
    <w:name w:val="popolo"/>
    <w:basedOn w:val="Normale"/>
    <w:rsid w:val="00B7233D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7F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F3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7F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F3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Ferdinando Lotoro</dc:creator>
  <cp:lastModifiedBy>Rossella Palmiero</cp:lastModifiedBy>
  <cp:revision>2</cp:revision>
  <cp:lastPrinted>2016-04-28T08:47:00Z</cp:lastPrinted>
  <dcterms:created xsi:type="dcterms:W3CDTF">2024-05-21T13:42:00Z</dcterms:created>
  <dcterms:modified xsi:type="dcterms:W3CDTF">2024-05-21T13:42:00Z</dcterms:modified>
</cp:coreProperties>
</file>